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DE3F6F">
        <w:rPr>
          <w:u w:val="single"/>
          <w:lang w:val="uk-UA"/>
        </w:rPr>
        <w:t>17 Електроніка, автоматизація та електронні комунікації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C04C85">
        <w:rPr>
          <w:u w:val="single"/>
          <w:lang w:val="uk-UA"/>
        </w:rPr>
        <w:t>175  Інформаційно-вимірювальні</w:t>
      </w:r>
      <w:r w:rsidR="00DE3F6F">
        <w:rPr>
          <w:u w:val="single"/>
          <w:lang w:val="uk-UA"/>
        </w:rPr>
        <w:t xml:space="preserve"> технології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C04C85" w:rsidRPr="00C04C85">
        <w:rPr>
          <w:u w:val="single"/>
          <w:lang w:val="uk-UA"/>
        </w:rPr>
        <w:t xml:space="preserve">Якість, стандартизація та сертифікація </w:t>
      </w:r>
      <w:r w:rsidR="00C04C85">
        <w:rPr>
          <w:u w:val="single"/>
          <w:lang w:val="uk-UA"/>
        </w:rPr>
        <w:t xml:space="preserve">                   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C04C85">
        <w:rPr>
          <w:sz w:val="24"/>
          <w:szCs w:val="24"/>
          <w:u w:val="single"/>
          <w:lang w:val="uk-UA"/>
        </w:rPr>
        <w:t>Якість, стандартизація та сертифікація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C04C85">
        <w:rPr>
          <w:sz w:val="24"/>
          <w:szCs w:val="24"/>
          <w:u w:val="single"/>
          <w:lang w:val="uk-UA"/>
        </w:rPr>
        <w:t>175 Інформаційно-вимірювальні технології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1B55E3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1B55E3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742860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60716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K</w:t>
      </w:r>
      <w:r w:rsidR="00C04C85">
        <w:rPr>
          <w:lang w:val="uk-UA"/>
        </w:rPr>
        <w:t>02</w:t>
      </w:r>
      <w:r w:rsidR="008A601F">
        <w:rPr>
          <w:lang w:val="uk-UA"/>
        </w:rPr>
        <w:t>. Здат</w:t>
      </w:r>
      <w:r w:rsidR="00C04C85">
        <w:rPr>
          <w:lang w:val="uk-UA"/>
        </w:rPr>
        <w:t>ність спілкуватися іноземною мовою</w:t>
      </w:r>
      <w:r w:rsidR="00120A3B" w:rsidRPr="0037604B">
        <w:rPr>
          <w:lang w:val="uk-UA"/>
        </w:rPr>
        <w:t>.</w:t>
      </w:r>
    </w:p>
    <w:p w:rsidR="00120A3B" w:rsidRDefault="0060716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K</w:t>
      </w:r>
      <w:r w:rsidR="00C04C85">
        <w:rPr>
          <w:lang w:val="uk-UA"/>
        </w:rPr>
        <w:t>03</w:t>
      </w:r>
      <w:r w:rsidR="00120A3B" w:rsidRPr="0037604B">
        <w:rPr>
          <w:lang w:val="uk-UA"/>
        </w:rPr>
        <w:t xml:space="preserve">. </w:t>
      </w:r>
      <w:r w:rsidR="00C04C85">
        <w:rPr>
          <w:lang w:val="uk-UA"/>
        </w:rPr>
        <w:t>Навички використання інформаційних і комунікаційних технологій.</w:t>
      </w:r>
    </w:p>
    <w:p w:rsidR="00C04C85" w:rsidRDefault="0060716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C04C85">
        <w:rPr>
          <w:lang w:val="uk-UA"/>
        </w:rPr>
        <w:t>08. Здатність працювати в міжнародному контексті.</w:t>
      </w:r>
    </w:p>
    <w:p w:rsidR="00C04C85" w:rsidRPr="0037604B" w:rsidRDefault="00607160" w:rsidP="00C04C85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СК</w:t>
      </w:r>
      <w:r w:rsidR="00C04C85">
        <w:rPr>
          <w:lang w:val="uk-UA"/>
        </w:rPr>
        <w:t xml:space="preserve">12. </w:t>
      </w:r>
      <w:r w:rsidR="00C04C85" w:rsidRPr="00C04C85">
        <w:rPr>
          <w:lang w:val="uk-UA"/>
        </w:rPr>
        <w:t>Здатність керувати проектами та Start-Up-ами і оцінювати їх</w:t>
      </w:r>
      <w:r w:rsidR="00C04C85">
        <w:rPr>
          <w:lang w:val="uk-UA"/>
        </w:rPr>
        <w:t xml:space="preserve"> </w:t>
      </w:r>
      <w:r w:rsidR="00C04C85" w:rsidRPr="00C04C85">
        <w:rPr>
          <w:lang w:val="uk-UA"/>
        </w:rPr>
        <w:t>результати, складати технічні завдання на розробку систем забезпечення</w:t>
      </w:r>
      <w:r w:rsidR="00C04C85">
        <w:rPr>
          <w:lang w:val="uk-UA"/>
        </w:rPr>
        <w:t xml:space="preserve"> </w:t>
      </w:r>
      <w:r w:rsidR="00C04C85" w:rsidRPr="00C04C85">
        <w:rPr>
          <w:lang w:val="uk-UA"/>
        </w:rPr>
        <w:t>якості та інформаційних вимірювальних систем.</w:t>
      </w:r>
    </w:p>
    <w:p w:rsidR="00607160" w:rsidRPr="0037604B" w:rsidRDefault="00120A3B" w:rsidP="00607160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>здатності</w:t>
      </w:r>
      <w:r w:rsidR="00607160">
        <w:rPr>
          <w:color w:val="1A1A1A" w:themeColor="background1" w:themeShade="1A"/>
          <w:lang w:val="uk-UA"/>
        </w:rPr>
        <w:t xml:space="preserve"> спілкуватися іноземною мовою, формування навичок використання інформаційних і комунікаційних технологій,</w:t>
      </w:r>
      <w:r w:rsidRPr="0037604B">
        <w:rPr>
          <w:color w:val="1A1A1A" w:themeColor="background1" w:themeShade="1A"/>
          <w:lang w:val="uk-UA"/>
        </w:rPr>
        <w:t xml:space="preserve"> </w:t>
      </w:r>
      <w:r w:rsidR="00607160">
        <w:rPr>
          <w:color w:val="1A1A1A" w:themeColor="background1" w:themeShade="1A"/>
          <w:lang w:val="uk-UA"/>
        </w:rPr>
        <w:t xml:space="preserve">здатності </w:t>
      </w:r>
      <w:r w:rsidR="008A601F">
        <w:rPr>
          <w:lang w:val="uk-UA"/>
        </w:rPr>
        <w:t>пра</w:t>
      </w:r>
      <w:r w:rsidR="00607160">
        <w:rPr>
          <w:lang w:val="uk-UA"/>
        </w:rPr>
        <w:t xml:space="preserve">цювати в міжнародному контексті, а також здатності </w:t>
      </w:r>
      <w:r w:rsidR="00607160" w:rsidRPr="00C04C85">
        <w:rPr>
          <w:lang w:val="uk-UA"/>
        </w:rPr>
        <w:t>керувати проектами та Start-Up-ами і оцінювати їх</w:t>
      </w:r>
      <w:r w:rsidR="00607160">
        <w:rPr>
          <w:lang w:val="uk-UA"/>
        </w:rPr>
        <w:t xml:space="preserve"> </w:t>
      </w:r>
      <w:r w:rsidR="00607160" w:rsidRPr="00C04C85">
        <w:rPr>
          <w:lang w:val="uk-UA"/>
        </w:rPr>
        <w:t>результати, складати технічні завдання на розробку систем забезпечення</w:t>
      </w:r>
      <w:r w:rsidR="00607160">
        <w:rPr>
          <w:lang w:val="uk-UA"/>
        </w:rPr>
        <w:t xml:space="preserve"> </w:t>
      </w:r>
      <w:r w:rsidR="00607160" w:rsidRPr="00C04C85">
        <w:rPr>
          <w:lang w:val="uk-UA"/>
        </w:rPr>
        <w:t>якості та інформаційних вимірювальних систем.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20A3B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A41E73" w:rsidRDefault="00607160" w:rsidP="00607160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ПР </w:t>
      </w:r>
      <w:r w:rsidR="00A41E73">
        <w:rPr>
          <w:lang w:val="uk-UA"/>
        </w:rPr>
        <w:t xml:space="preserve">06. </w:t>
      </w:r>
      <w:r w:rsidRPr="00607160">
        <w:rPr>
          <w:color w:val="000000"/>
          <w:lang w:val="uk-UA"/>
        </w:rPr>
        <w:t>Вміти розробляти нормативно-технічні документи та стандарти</w:t>
      </w:r>
      <w:r>
        <w:rPr>
          <w:color w:val="000000"/>
          <w:lang w:val="uk-UA"/>
        </w:rPr>
        <w:t xml:space="preserve"> </w:t>
      </w:r>
      <w:r w:rsidRPr="00607160">
        <w:rPr>
          <w:color w:val="000000"/>
          <w:lang w:val="uk-UA"/>
        </w:rPr>
        <w:t>метрологічної спрямованості на інженерні продукти, процеси і системи</w:t>
      </w:r>
      <w:r>
        <w:rPr>
          <w:color w:val="000000"/>
          <w:lang w:val="uk-UA"/>
        </w:rPr>
        <w:t xml:space="preserve"> </w:t>
      </w:r>
      <w:r w:rsidRPr="00607160">
        <w:rPr>
          <w:color w:val="000000"/>
          <w:lang w:val="uk-UA"/>
        </w:rPr>
        <w:t>(зокрема, тих, що стосуються забезпечення якості в Україні та в</w:t>
      </w:r>
      <w:r>
        <w:rPr>
          <w:color w:val="000000"/>
          <w:lang w:val="uk-UA"/>
        </w:rPr>
        <w:t xml:space="preserve"> </w:t>
      </w:r>
      <w:r w:rsidRPr="00607160">
        <w:rPr>
          <w:color w:val="000000"/>
          <w:lang w:val="uk-UA"/>
        </w:rPr>
        <w:t>міжнародній практиці).</w:t>
      </w:r>
    </w:p>
    <w:p w:rsidR="00A41E73" w:rsidRPr="00607160" w:rsidRDefault="00607160" w:rsidP="00607160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ПР </w:t>
      </w:r>
      <w:r w:rsidR="00A41E73">
        <w:rPr>
          <w:lang w:val="uk-UA"/>
        </w:rPr>
        <w:t xml:space="preserve">12. </w:t>
      </w:r>
      <w:r w:rsidRPr="00607160">
        <w:rPr>
          <w:color w:val="000000"/>
          <w:lang w:val="uk-UA"/>
        </w:rPr>
        <w:t>Вільно презентувати та обговорювати наукові результати</w:t>
      </w:r>
      <w:r>
        <w:rPr>
          <w:color w:val="000000"/>
          <w:lang w:val="uk-UA"/>
        </w:rPr>
        <w:t xml:space="preserve"> </w:t>
      </w:r>
      <w:r w:rsidRPr="00607160">
        <w:rPr>
          <w:color w:val="000000"/>
          <w:lang w:val="uk-UA"/>
        </w:rPr>
        <w:t>державною мовою та англійською або однією з мов країн Європейського</w:t>
      </w:r>
      <w:r>
        <w:rPr>
          <w:color w:val="000000"/>
          <w:lang w:val="uk-UA"/>
        </w:rPr>
        <w:t xml:space="preserve"> </w:t>
      </w:r>
      <w:r w:rsidRPr="00607160">
        <w:rPr>
          <w:color w:val="000000"/>
          <w:lang w:val="uk-UA"/>
        </w:rPr>
        <w:t>Союзу в усній та письмовій формах, а також вести наукову дискусію.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lastRenderedPageBreak/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901"/>
        <w:gridCol w:w="336"/>
        <w:gridCol w:w="456"/>
        <w:gridCol w:w="625"/>
        <w:gridCol w:w="594"/>
        <w:gridCol w:w="641"/>
        <w:gridCol w:w="903"/>
        <w:gridCol w:w="336"/>
        <w:gridCol w:w="516"/>
        <w:gridCol w:w="625"/>
        <w:gridCol w:w="594"/>
        <w:gridCol w:w="624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lastRenderedPageBreak/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з незначними </w:t>
            </w:r>
            <w:r w:rsidRPr="008265A2">
              <w:rPr>
                <w:lang w:val="uk-UA" w:eastAsia="uk-UA"/>
              </w:rPr>
              <w:lastRenderedPageBreak/>
              <w:t>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lastRenderedPageBreak/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742860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74286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74286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74286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74286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74286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60" w:rsidRDefault="00742860">
      <w:r>
        <w:separator/>
      </w:r>
    </w:p>
  </w:endnote>
  <w:endnote w:type="continuationSeparator" w:id="0">
    <w:p w:rsidR="00742860" w:rsidRDefault="007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60" w:rsidRDefault="00742860">
      <w:r>
        <w:separator/>
      </w:r>
    </w:p>
  </w:footnote>
  <w:footnote w:type="continuationSeparator" w:id="0">
    <w:p w:rsidR="00742860" w:rsidRDefault="0074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85" w:rsidRDefault="00C04C85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C85" w:rsidRDefault="00C04C85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85" w:rsidRDefault="00C04C85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5E3">
      <w:rPr>
        <w:rStyle w:val="a6"/>
        <w:noProof/>
      </w:rPr>
      <w:t>2</w:t>
    </w:r>
    <w:r>
      <w:rPr>
        <w:rStyle w:val="a6"/>
      </w:rPr>
      <w:fldChar w:fldCharType="end"/>
    </w:r>
  </w:p>
  <w:p w:rsidR="00C04C85" w:rsidRDefault="00C04C85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B55E3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7160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14366"/>
    <w:rsid w:val="007270F4"/>
    <w:rsid w:val="00730879"/>
    <w:rsid w:val="0073438A"/>
    <w:rsid w:val="00734B86"/>
    <w:rsid w:val="00740125"/>
    <w:rsid w:val="00742860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41E73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4C85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CAD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69CC-6BA0-40F4-B535-FECDF005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27</cp:revision>
  <cp:lastPrinted>2024-08-07T10:56:00Z</cp:lastPrinted>
  <dcterms:created xsi:type="dcterms:W3CDTF">2021-01-04T10:04:00Z</dcterms:created>
  <dcterms:modified xsi:type="dcterms:W3CDTF">2024-11-20T12:33:00Z</dcterms:modified>
</cp:coreProperties>
</file>