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AD6180" w:rsidRDefault="00BF0426" w:rsidP="00195DF1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ІНОЗЕМНА МОВА</w:t>
      </w:r>
      <w:r w:rsidR="00141423">
        <w:rPr>
          <w:b/>
          <w:sz w:val="52"/>
          <w:lang w:val="uk-UA"/>
        </w:rPr>
        <w:t xml:space="preserve"> ПРОФЕСІЙНО-ДІЛОВОГО СПІЛКУВАННЯ</w:t>
      </w:r>
      <w:r>
        <w:rPr>
          <w:b/>
          <w:sz w:val="52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AD6180">
        <w:rPr>
          <w:u w:val="single"/>
          <w:lang w:val="uk-UA"/>
        </w:rPr>
        <w:t>перший (бакалаврський</w:t>
      </w:r>
      <w:r w:rsidR="00DE3F6F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E504B8">
        <w:rPr>
          <w:u w:val="single"/>
          <w:lang w:val="uk-UA"/>
        </w:rPr>
        <w:t xml:space="preserve">             14</w:t>
      </w:r>
      <w:r w:rsidR="00256AF7">
        <w:rPr>
          <w:u w:val="single"/>
          <w:lang w:val="uk-UA"/>
        </w:rPr>
        <w:t xml:space="preserve">     </w:t>
      </w:r>
      <w:r w:rsidR="00E504B8">
        <w:rPr>
          <w:u w:val="single"/>
          <w:lang w:val="uk-UA"/>
        </w:rPr>
        <w:t xml:space="preserve">Електрична інженерія                               </w:t>
      </w:r>
      <w:r w:rsidR="00AD6180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                 </w:t>
      </w:r>
      <w:r w:rsidR="00AD6180">
        <w:rPr>
          <w:lang w:val="uk-UA"/>
        </w:rPr>
        <w:t>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E504B8">
        <w:rPr>
          <w:u w:val="single"/>
          <w:lang w:val="uk-UA"/>
        </w:rPr>
        <w:t>           141</w:t>
      </w:r>
      <w:r w:rsidR="00AD6180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</w:t>
      </w:r>
      <w:r w:rsidR="00E504B8">
        <w:rPr>
          <w:u w:val="single"/>
          <w:lang w:val="uk-UA"/>
        </w:rPr>
        <w:t xml:space="preserve">Електроенергетика, електротехніка та електромеханіка </w:t>
      </w:r>
      <w:r w:rsidR="00141423">
        <w:rPr>
          <w:u w:val="single"/>
          <w:lang w:val="uk-UA"/>
        </w:rPr>
        <w:t xml:space="preserve"> </w:t>
      </w:r>
      <w:r w:rsidR="00AD6180">
        <w:rPr>
          <w:u w:val="single"/>
          <w:lang w:val="uk-UA"/>
        </w:rPr>
        <w:t xml:space="preserve">                         </w:t>
      </w:r>
      <w:r w:rsidR="00256AF7">
        <w:rPr>
          <w:u w:val="single"/>
          <w:lang w:val="uk-UA"/>
        </w:rPr>
        <w:t xml:space="preserve"> </w:t>
      </w:r>
      <w:r w:rsidR="00256AF7" w:rsidRPr="006D3204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                                                                 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141423">
        <w:rPr>
          <w:u w:val="single"/>
          <w:lang w:val="uk-UA"/>
        </w:rPr>
        <w:t xml:space="preserve">            </w:t>
      </w:r>
      <w:r w:rsidR="00E504B8">
        <w:rPr>
          <w:u w:val="single"/>
          <w:lang w:val="uk-UA"/>
        </w:rPr>
        <w:t xml:space="preserve">Електричні станції, мережі та системи                         </w:t>
      </w:r>
      <w:r w:rsidR="00AD6180">
        <w:rPr>
          <w:u w:val="single"/>
          <w:lang w:val="uk-UA"/>
        </w:rPr>
        <w:t xml:space="preserve">         </w:t>
      </w:r>
      <w:r w:rsidR="007652C9">
        <w:rPr>
          <w:u w:val="single"/>
          <w:lang w:val="uk-UA"/>
        </w:rPr>
        <w:t xml:space="preserve"> </w:t>
      </w:r>
      <w:r w:rsidR="00E504B8">
        <w:rPr>
          <w:lang w:val="uk-UA"/>
        </w:rPr>
        <w:t>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спеціалізація __________</w:t>
      </w:r>
      <w:r w:rsidR="00E504B8" w:rsidRPr="00E504B8">
        <w:rPr>
          <w:u w:val="single"/>
          <w:lang w:val="uk-UA"/>
        </w:rPr>
        <w:t>Електричні станції, мережі та системи</w:t>
      </w:r>
      <w:r w:rsidRPr="0046323A">
        <w:rPr>
          <w:lang w:val="uk-UA"/>
        </w:rPr>
        <w:t>_</w:t>
      </w:r>
      <w:r w:rsidR="00AD6180">
        <w:rPr>
          <w:u w:val="single"/>
          <w:lang w:val="uk-UA"/>
        </w:rPr>
        <w:t xml:space="preserve"> </w:t>
      </w:r>
      <w:r w:rsidR="00141423">
        <w:rPr>
          <w:u w:val="single"/>
          <w:lang w:val="uk-UA"/>
        </w:rPr>
        <w:t xml:space="preserve">                                                </w:t>
      </w:r>
      <w:r w:rsidR="00AD6180">
        <w:rPr>
          <w:u w:val="single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AD6180">
        <w:rPr>
          <w:u w:val="single"/>
          <w:lang w:val="uk-UA"/>
        </w:rPr>
        <w:t xml:space="preserve"> за вибором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141423">
        <w:rPr>
          <w:sz w:val="24"/>
          <w:szCs w:val="24"/>
          <w:lang w:val="uk-UA"/>
        </w:rPr>
        <w:t>І</w:t>
      </w:r>
      <w:r w:rsidR="00AD6180">
        <w:rPr>
          <w:sz w:val="24"/>
          <w:szCs w:val="24"/>
          <w:lang w:val="uk-UA"/>
        </w:rPr>
        <w:t>ноземна мова</w:t>
      </w:r>
      <w:r w:rsidR="00141423">
        <w:rPr>
          <w:sz w:val="24"/>
          <w:szCs w:val="24"/>
          <w:lang w:val="uk-UA"/>
        </w:rPr>
        <w:t xml:space="preserve"> професійно-ділового спілкування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E504B8">
        <w:rPr>
          <w:sz w:val="24"/>
          <w:szCs w:val="24"/>
          <w:u w:val="single"/>
          <w:lang w:val="uk-UA"/>
        </w:rPr>
        <w:t>Електричні станції, мережі та системи</w:t>
      </w:r>
      <w:r w:rsidR="00DE3F6F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AD6180">
        <w:rPr>
          <w:sz w:val="24"/>
          <w:szCs w:val="24"/>
          <w:u w:val="single"/>
          <w:lang w:val="uk-UA"/>
        </w:rPr>
        <w:t>перший (бакалаврський</w:t>
      </w:r>
      <w:r w:rsidR="00DE3F6F">
        <w:rPr>
          <w:sz w:val="24"/>
          <w:szCs w:val="24"/>
          <w:u w:val="single"/>
          <w:lang w:val="uk-UA"/>
        </w:rPr>
        <w:t>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E504B8">
        <w:rPr>
          <w:sz w:val="24"/>
          <w:szCs w:val="24"/>
          <w:u w:val="single"/>
          <w:lang w:val="uk-UA"/>
        </w:rPr>
        <w:t>141</w:t>
      </w:r>
      <w:r w:rsidR="00141423">
        <w:rPr>
          <w:sz w:val="24"/>
          <w:szCs w:val="24"/>
          <w:u w:val="single"/>
          <w:lang w:val="uk-UA"/>
        </w:rPr>
        <w:t xml:space="preserve"> </w:t>
      </w:r>
      <w:r w:rsidR="00E504B8">
        <w:rPr>
          <w:sz w:val="24"/>
          <w:szCs w:val="24"/>
          <w:u w:val="single"/>
          <w:lang w:val="uk-UA"/>
        </w:rPr>
        <w:t xml:space="preserve">Електроенергетика, електротехніка та електромеханіка </w:t>
      </w:r>
      <w:r w:rsidR="007652C9">
        <w:rPr>
          <w:sz w:val="24"/>
          <w:szCs w:val="24"/>
          <w:u w:val="single"/>
          <w:lang w:val="uk-UA"/>
        </w:rPr>
        <w:t xml:space="preserve"> 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F31A2B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608B2" w:rsidRPr="00BF6AE0" w:rsidRDefault="0037604B" w:rsidP="008608B2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1.</w:t>
            </w:r>
            <w:r w:rsidR="00CE3AA9" w:rsidRPr="00CE3AA9">
              <w:rPr>
                <w:color w:val="1A1A1A" w:themeColor="background1" w:themeShade="1A"/>
                <w:lang w:val="uk-UA"/>
              </w:rPr>
              <w:t xml:space="preserve"> </w:t>
            </w:r>
            <w:r w:rsidR="008608B2" w:rsidRPr="0044440E">
              <w:rPr>
                <w:color w:val="1A1A1A" w:themeColor="background1" w:themeShade="1A"/>
                <w:lang w:val="uk-UA"/>
              </w:rPr>
              <w:t xml:space="preserve">Доктор пед. наук, професор  Зеленін Геннадій Іванович </w:t>
            </w:r>
          </w:p>
          <w:p w:rsidR="008608B2" w:rsidRPr="00BF6AE0" w:rsidRDefault="008608B2" w:rsidP="008608B2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Pr="001952B9">
                <w:rPr>
                  <w:rStyle w:val="a4"/>
                  <w:sz w:val="26"/>
                  <w:szCs w:val="26"/>
                </w:rPr>
                <w:t>http://fl.uipa.edu.ua/211-2/</w:t>
              </w:r>
            </w:hyperlink>
          </w:p>
          <w:p w:rsidR="008608B2" w:rsidRPr="0044440E" w:rsidRDefault="008608B2" w:rsidP="008608B2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8608B2">
              <w:rPr>
                <w:color w:val="1A1A1A" w:themeColor="background1" w:themeShade="1A"/>
              </w:rPr>
              <w:t xml:space="preserve"> </w:t>
            </w:r>
            <w:hyperlink r:id="rId9" w:history="1">
              <w:r w:rsidRPr="001952B9">
                <w:rPr>
                  <w:rStyle w:val="a4"/>
                  <w:sz w:val="26"/>
                  <w:szCs w:val="26"/>
                </w:rPr>
                <w:t>zelenin@karazin.ua</w:t>
              </w:r>
            </w:hyperlink>
          </w:p>
          <w:p w:rsidR="00CE3AA9" w:rsidRPr="00CE3AA9" w:rsidRDefault="008608B2" w:rsidP="00CE3AA9">
            <w:pPr>
              <w:widowControl w:val="0"/>
              <w:rPr>
                <w:color w:val="1A1A1A" w:themeColor="background1" w:themeShade="1A"/>
                <w:lang w:val="uk-UA"/>
              </w:rPr>
            </w:pPr>
            <w:r>
              <w:rPr>
                <w:color w:val="1A1A1A" w:themeColor="background1" w:themeShade="1A"/>
                <w:lang w:val="uk-UA"/>
              </w:rPr>
              <w:t xml:space="preserve">2. </w:t>
            </w:r>
            <w:r w:rsidR="00CE3AA9" w:rsidRPr="00CE3AA9">
              <w:rPr>
                <w:color w:val="1A1A1A" w:themeColor="background1" w:themeShade="1A"/>
                <w:lang w:val="uk-UA"/>
              </w:rPr>
              <w:t xml:space="preserve">Кандидат пед. наук, доцент  Тупченко Валерія Володимирівна </w:t>
            </w:r>
          </w:p>
          <w:p w:rsidR="00CE3AA9" w:rsidRPr="00547400" w:rsidRDefault="00CE3AA9" w:rsidP="00CE3AA9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</w:rPr>
            </w:pPr>
            <w:r w:rsidRPr="00CE3AA9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10" w:history="1">
              <w:r w:rsidR="003602CB" w:rsidRPr="00DC67D3">
                <w:rPr>
                  <w:rStyle w:val="a4"/>
                  <w:sz w:val="26"/>
                  <w:szCs w:val="26"/>
                </w:rPr>
                <w:t>http://fl.uipa.edu.ua/</w:t>
              </w:r>
              <w:r w:rsidR="003602CB" w:rsidRPr="00DC67D3">
                <w:rPr>
                  <w:rStyle w:val="a4"/>
                  <w:sz w:val="26"/>
                  <w:szCs w:val="26"/>
                  <w:lang w:val="en-US"/>
                </w:rPr>
                <w:t>elementor</w:t>
              </w:r>
              <w:r w:rsidR="003602CB" w:rsidRPr="00DC67D3">
                <w:rPr>
                  <w:rStyle w:val="a4"/>
                  <w:sz w:val="26"/>
                  <w:szCs w:val="26"/>
                </w:rPr>
                <w:t>-228/</w:t>
              </w:r>
            </w:hyperlink>
            <w:r w:rsidR="003602CB">
              <w:rPr>
                <w:sz w:val="26"/>
                <w:szCs w:val="26"/>
              </w:rPr>
              <w:t xml:space="preserve"> </w:t>
            </w:r>
            <w:r w:rsidR="00547400" w:rsidRPr="00547400">
              <w:rPr>
                <w:sz w:val="26"/>
                <w:szCs w:val="26"/>
              </w:rPr>
              <w:t xml:space="preserve"> </w:t>
            </w:r>
          </w:p>
          <w:p w:rsidR="00CE3AA9" w:rsidRPr="00547400" w:rsidRDefault="00CE3AA9" w:rsidP="00CE3AA9">
            <w:pPr>
              <w:widowControl w:val="0"/>
              <w:spacing w:line="276" w:lineRule="auto"/>
            </w:pPr>
            <w:r w:rsidRPr="00CE3AA9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CE3AA9">
              <w:rPr>
                <w:color w:val="1A1A1A" w:themeColor="background1" w:themeShade="1A"/>
              </w:rPr>
              <w:t xml:space="preserve"> </w:t>
            </w:r>
            <w:hyperlink r:id="rId11" w:history="1">
              <w:r w:rsidR="00547400" w:rsidRPr="00DC67D3">
                <w:rPr>
                  <w:rStyle w:val="a4"/>
                  <w:lang w:val="en-US"/>
                </w:rPr>
                <w:t>v</w:t>
              </w:r>
              <w:r w:rsidR="00547400" w:rsidRPr="00DC67D3">
                <w:rPr>
                  <w:rStyle w:val="a4"/>
                </w:rPr>
                <w:t>.</w:t>
              </w:r>
              <w:r w:rsidR="00547400" w:rsidRPr="00DC67D3">
                <w:rPr>
                  <w:rStyle w:val="a4"/>
                  <w:lang w:val="en-US"/>
                </w:rPr>
                <w:t>tupchenko</w:t>
              </w:r>
              <w:r w:rsidR="00547400" w:rsidRPr="00DC67D3">
                <w:rPr>
                  <w:rStyle w:val="a4"/>
                  <w:lang w:val="uk-UA"/>
                </w:rPr>
                <w:t>@karazin.ua</w:t>
              </w:r>
            </w:hyperlink>
            <w:r w:rsidR="00547400" w:rsidRPr="00547400">
              <w:rPr>
                <w:u w:val="single"/>
              </w:rPr>
              <w:t xml:space="preserve"> </w:t>
            </w:r>
          </w:p>
          <w:p w:rsidR="003602CB" w:rsidRPr="003602CB" w:rsidRDefault="008608B2" w:rsidP="003602CB">
            <w:pPr>
              <w:widowControl w:val="0"/>
              <w:rPr>
                <w:color w:val="1A1A1A" w:themeColor="background1" w:themeShade="1A"/>
                <w:lang w:val="uk-UA"/>
              </w:rPr>
            </w:pPr>
            <w:r>
              <w:rPr>
                <w:color w:val="1A1A1A" w:themeColor="background1" w:themeShade="1A"/>
                <w:lang w:val="uk-UA"/>
              </w:rPr>
              <w:t>3</w:t>
            </w:r>
            <w:r w:rsidR="00337686">
              <w:rPr>
                <w:color w:val="1A1A1A" w:themeColor="background1" w:themeShade="1A"/>
                <w:lang w:val="uk-UA"/>
              </w:rPr>
              <w:t>.</w:t>
            </w:r>
            <w:r>
              <w:rPr>
                <w:color w:val="1A1A1A" w:themeColor="background1" w:themeShade="1A"/>
                <w:lang w:val="uk-UA"/>
              </w:rPr>
              <w:t xml:space="preserve"> С</w:t>
            </w:r>
            <w:r w:rsidR="003602CB">
              <w:rPr>
                <w:color w:val="1A1A1A" w:themeColor="background1" w:themeShade="1A"/>
                <w:lang w:val="uk-UA"/>
              </w:rPr>
              <w:t>тарший викладач</w:t>
            </w:r>
            <w:r>
              <w:rPr>
                <w:color w:val="1A1A1A" w:themeColor="background1" w:themeShade="1A"/>
                <w:lang w:val="uk-UA"/>
              </w:rPr>
              <w:t xml:space="preserve">  Пасічник Марина</w:t>
            </w:r>
            <w:r w:rsidR="003602CB" w:rsidRPr="003602CB">
              <w:rPr>
                <w:color w:val="1A1A1A" w:themeColor="background1" w:themeShade="1A"/>
                <w:lang w:val="uk-UA"/>
              </w:rPr>
              <w:t xml:space="preserve"> В</w:t>
            </w:r>
            <w:r>
              <w:rPr>
                <w:color w:val="1A1A1A" w:themeColor="background1" w:themeShade="1A"/>
              </w:rPr>
              <w:t>ікторівна</w:t>
            </w:r>
            <w:r w:rsidR="003602CB" w:rsidRPr="003602CB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EE1638" w:rsidRPr="00447211" w:rsidRDefault="003602CB" w:rsidP="00EE1638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3602CB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12" w:history="1">
              <w:r w:rsidR="00EE1638" w:rsidRPr="00763818">
                <w:rPr>
                  <w:rStyle w:val="a4"/>
                  <w:sz w:val="26"/>
                  <w:szCs w:val="26"/>
                </w:rPr>
                <w:t>http://fl.uipa.edu.ua/</w:t>
              </w:r>
              <w:r w:rsidR="00EE1638" w:rsidRPr="00763818">
                <w:rPr>
                  <w:rStyle w:val="a4"/>
                  <w:sz w:val="26"/>
                  <w:szCs w:val="26"/>
                  <w:lang w:val="en-US"/>
                </w:rPr>
                <w:t>elementor</w:t>
              </w:r>
              <w:r w:rsidR="00EE1638" w:rsidRPr="00763818">
                <w:rPr>
                  <w:rStyle w:val="a4"/>
                  <w:sz w:val="26"/>
                  <w:szCs w:val="26"/>
                </w:rPr>
                <w:t>-953/</w:t>
              </w:r>
            </w:hyperlink>
            <w:r w:rsidR="00EE1638">
              <w:rPr>
                <w:sz w:val="26"/>
                <w:szCs w:val="26"/>
              </w:rPr>
              <w:t xml:space="preserve"> </w:t>
            </w:r>
          </w:p>
          <w:p w:rsidR="003602CB" w:rsidRPr="003602CB" w:rsidRDefault="003602CB" w:rsidP="003602CB">
            <w:pPr>
              <w:widowControl w:val="0"/>
              <w:spacing w:line="276" w:lineRule="auto"/>
              <w:rPr>
                <w:lang w:val="uk-UA"/>
              </w:rPr>
            </w:pPr>
            <w:r w:rsidRPr="003602CB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3602CB">
              <w:rPr>
                <w:color w:val="1A1A1A" w:themeColor="background1" w:themeShade="1A"/>
              </w:rPr>
              <w:t xml:space="preserve"> </w:t>
            </w:r>
            <w:r w:rsidR="00EE1638"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EE1638" w:rsidRPr="00937B7C">
              <w:rPr>
                <w:color w:val="1A1A1A" w:themeColor="background1" w:themeShade="1A"/>
              </w:rPr>
              <w:t xml:space="preserve"> </w:t>
            </w:r>
            <w:hyperlink r:id="rId13" w:history="1">
              <w:r w:rsidR="00EE1638" w:rsidRPr="00763818">
                <w:rPr>
                  <w:rStyle w:val="a4"/>
                  <w:lang w:val="en-US"/>
                </w:rPr>
                <w:t>mvpasichnyk</w:t>
              </w:r>
              <w:r w:rsidR="00EE1638" w:rsidRPr="00763818">
                <w:rPr>
                  <w:rStyle w:val="a4"/>
                  <w:lang w:val="uk-UA"/>
                </w:rPr>
                <w:t>@karazin.ua</w:t>
              </w:r>
            </w:hyperlink>
            <w:r>
              <w:rPr>
                <w:lang w:val="uk-UA"/>
              </w:rPr>
              <w:t xml:space="preserve"> </w:t>
            </w:r>
          </w:p>
          <w:p w:rsidR="0037604B" w:rsidRPr="00BF6AE0" w:rsidRDefault="0037604B" w:rsidP="008C753B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</w:tc>
      </w:tr>
      <w:tr w:rsidR="00120A3B" w:rsidRPr="00E504B8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6051D4" w:rsidRDefault="008608B2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14" w:history="1">
              <w:r w:rsidR="006607DC" w:rsidRPr="00DC67D3">
                <w:rPr>
                  <w:rStyle w:val="a4"/>
                </w:rPr>
                <w:t>https</w:t>
              </w:r>
              <w:r w:rsidR="006607DC" w:rsidRPr="00DC67D3">
                <w:rPr>
                  <w:rStyle w:val="a4"/>
                  <w:lang w:val="uk-UA"/>
                </w:rPr>
                <w:t>://</w:t>
              </w:r>
              <w:r w:rsidR="006607DC" w:rsidRPr="00DC67D3">
                <w:rPr>
                  <w:rStyle w:val="a4"/>
                </w:rPr>
                <w:t>moodle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karazi</w:t>
              </w:r>
              <w:r w:rsidR="006607DC" w:rsidRPr="00DC67D3">
                <w:rPr>
                  <w:rStyle w:val="a4"/>
                </w:rPr>
                <w:t>n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ua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course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view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php</w:t>
              </w:r>
              <w:r w:rsidR="006607DC" w:rsidRPr="00DC67D3">
                <w:rPr>
                  <w:rStyle w:val="a4"/>
                  <w:lang w:val="uk-UA"/>
                </w:rPr>
                <w:t>?</w:t>
              </w:r>
              <w:r w:rsidR="006607DC" w:rsidRPr="00DC67D3">
                <w:rPr>
                  <w:rStyle w:val="a4"/>
                </w:rPr>
                <w:t>id</w:t>
              </w:r>
              <w:r w:rsidR="006607DC" w:rsidRPr="00DC67D3">
                <w:rPr>
                  <w:rStyle w:val="a4"/>
                  <w:lang w:val="uk-UA"/>
                </w:rPr>
                <w:t>=10127</w:t>
              </w:r>
            </w:hyperlink>
            <w:r w:rsidR="006607DC">
              <w:rPr>
                <w:lang w:val="uk-UA"/>
              </w:rPr>
              <w:t xml:space="preserve"> </w:t>
            </w:r>
            <w:r w:rsidR="00547400" w:rsidRPr="006051D4">
              <w:rPr>
                <w:lang w:val="uk-UA"/>
              </w:rPr>
              <w:t xml:space="preserve"> </w:t>
            </w:r>
          </w:p>
          <w:p w:rsidR="00120A3B" w:rsidRPr="00BF6AE0" w:rsidRDefault="00964990" w:rsidP="0096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hyperlink r:id="rId15" w:history="1">
              <w:r w:rsidRPr="00B60646">
                <w:rPr>
                  <w:rStyle w:val="a4"/>
                  <w:szCs w:val="28"/>
                  <w:lang w:val="uk-UA"/>
                </w:rPr>
                <w:t>https://moodle.karazin.ua/course/view.php?id=10125</w:t>
              </w:r>
            </w:hyperlink>
            <w:r>
              <w:rPr>
                <w:color w:val="1A1A1A" w:themeColor="background1" w:themeShade="1A"/>
                <w:szCs w:val="28"/>
                <w:lang w:val="uk-UA"/>
              </w:rPr>
              <w:t xml:space="preserve"> </w:t>
            </w: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EE1638" w:rsidRDefault="00E35FDF" w:rsidP="00547400">
            <w:pPr>
              <w:pStyle w:val="ae"/>
              <w:widowControl w:val="0"/>
              <w:ind w:left="0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1</w:t>
            </w:r>
            <w:r w:rsidRPr="00EE1638">
              <w:rPr>
                <w:color w:val="1A1A1A" w:themeColor="background1" w:themeShade="1A"/>
                <w:sz w:val="24"/>
                <w:szCs w:val="24"/>
                <w:lang w:val="uk-UA"/>
              </w:rPr>
              <w:t xml:space="preserve">. </w:t>
            </w:r>
            <w:r w:rsidR="00EE1638" w:rsidRPr="00EE163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Доктор пед. наук, професор  Зеленін Геннадій Іванович</w:t>
            </w:r>
            <w:r w:rsidR="00EE163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- </w:t>
            </w:r>
            <w:r w:rsidR="00EE1638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18.00 -19.00 за посиланням</w:t>
            </w:r>
            <w:r w:rsidR="00EE1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="00EE1638" w:rsidRPr="001952B9">
                <w:rPr>
                  <w:rStyle w:val="a4"/>
                  <w:rFonts w:ascii="Calibri" w:hAnsi="Calibri" w:cs="Calibri"/>
                  <w:i/>
                  <w:iCs/>
                  <w:shd w:val="clear" w:color="auto" w:fill="FFFFFF"/>
                </w:rPr>
                <w:t>https://meet.google.com/pac-xaah-zgx</w:t>
              </w:r>
            </w:hyperlink>
          </w:p>
          <w:p w:rsidR="00547400" w:rsidRPr="00547400" w:rsidRDefault="00EE1638" w:rsidP="00547400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1A1A1A" w:themeColor="background1" w:themeShade="1A"/>
                <w:lang w:val="uk-UA"/>
              </w:rPr>
              <w:t xml:space="preserve">2.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Кандидат </w:t>
            </w:r>
            <w:r w:rsidR="00547400" w:rsidRPr="0054740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пед.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 w:rsidR="00547400" w:rsidRPr="0054740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доцент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547400" w:rsidRPr="0054740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Тупченко Валерія Володимирівна -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 за посиланням</w:t>
            </w:r>
            <w:r w:rsidR="00547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47400" w:rsidRPr="00EF07F1">
              <w:rPr>
                <w:lang w:val="uk-UA"/>
              </w:rPr>
              <w:t xml:space="preserve"> </w:t>
            </w:r>
            <w:hyperlink r:id="rId17" w:history="1">
              <w:r w:rsidR="00547400" w:rsidRPr="00DC67D3">
                <w:rPr>
                  <w:rStyle w:val="a4"/>
                  <w:lang w:val="en-US"/>
                </w:rPr>
                <w:t>http</w:t>
              </w:r>
              <w:r w:rsidR="00547400" w:rsidRPr="00DC67D3">
                <w:rPr>
                  <w:rStyle w:val="a4"/>
                </w:rPr>
                <w:t>:</w:t>
              </w:r>
              <w:r w:rsidR="00547400" w:rsidRPr="00DC67D3">
                <w:rPr>
                  <w:rStyle w:val="a4"/>
                  <w:lang w:val="uk-UA"/>
                </w:rPr>
                <w:t>//</w:t>
              </w:r>
              <w:r w:rsidR="00547400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meet.google.com/ufz-kyjg-vxk</w:t>
              </w:r>
            </w:hyperlink>
            <w:r w:rsidR="005474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547400" w:rsidRPr="005474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5474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17784B" w:rsidRDefault="0017784B" w:rsidP="0017784B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177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784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</w:t>
            </w:r>
            <w:r w:rsidR="00EE1638" w:rsidRPr="00EE163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Старший викладач  Пасічник Марина В</w:t>
            </w:r>
            <w:r w:rsidR="00EE1638" w:rsidRPr="00EE163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ікторівна</w:t>
            </w:r>
            <w:r w:rsidR="00EE1638" w:rsidRPr="003602CB">
              <w:rPr>
                <w:color w:val="1A1A1A" w:themeColor="background1" w:themeShade="1A"/>
                <w:lang w:val="uk-UA"/>
              </w:rPr>
              <w:t xml:space="preserve"> </w:t>
            </w:r>
            <w:r w:rsidRPr="0017784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- </w:t>
            </w:r>
            <w:r w:rsidRPr="0017784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 за посиланням</w:t>
            </w:r>
            <w:r w:rsidRPr="00177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8" w:history="1">
              <w:r w:rsidR="00964990" w:rsidRPr="00B60646">
                <w:rPr>
                  <w:rStyle w:val="a4"/>
                  <w:lang w:val="en-US"/>
                </w:rPr>
                <w:t>http</w:t>
              </w:r>
              <w:r w:rsidR="00964990" w:rsidRPr="00B60646">
                <w:rPr>
                  <w:rStyle w:val="a4"/>
                </w:rPr>
                <w:t>:</w:t>
              </w:r>
              <w:r w:rsidR="00964990" w:rsidRPr="00B60646">
                <w:rPr>
                  <w:rStyle w:val="a4"/>
                  <w:lang w:val="uk-UA"/>
                </w:rPr>
                <w:t>//</w:t>
              </w:r>
              <w:r w:rsidR="00964990" w:rsidRPr="00B606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meet.google.com/fim-pnuy-hsb?</w:t>
              </w:r>
              <w:r w:rsidR="00964990" w:rsidRPr="00B606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authuser</w:t>
              </w:r>
              <w:r w:rsidR="00964990" w:rsidRPr="009649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</w:t>
              </w:r>
            </w:hyperlink>
            <w:r w:rsidR="00964990"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20A3B" w:rsidRPr="0037604B" w:rsidRDefault="0017784B" w:rsidP="008C753B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 </w:t>
            </w: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195DF1" w:rsidRPr="008C753B" w:rsidRDefault="000214D3" w:rsidP="008C753B">
      <w:pPr>
        <w:rPr>
          <w:b/>
        </w:rPr>
      </w:pPr>
      <w:r w:rsidRPr="002C3E58">
        <w:rPr>
          <w:i/>
          <w:iCs/>
          <w:lang w:val="uk-UA"/>
        </w:rPr>
        <w:br w:type="page"/>
      </w:r>
      <w:r w:rsidR="00195DF1" w:rsidRPr="008C753B">
        <w:rPr>
          <w:b/>
        </w:rPr>
        <w:lastRenderedPageBreak/>
        <w:t>1.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547400" w:rsidRPr="00895EC6" w:rsidRDefault="00895EC6" w:rsidP="00547400">
      <w:pPr>
        <w:ind w:firstLine="360"/>
        <w:jc w:val="both"/>
        <w:rPr>
          <w:color w:val="FF0000"/>
          <w:lang w:val="uk-UA"/>
        </w:rPr>
      </w:pPr>
      <w:r>
        <w:rPr>
          <w:color w:val="1A1A1A" w:themeColor="background1" w:themeShade="1A"/>
          <w:lang w:val="uk-UA" w:eastAsia="uk-UA"/>
        </w:rPr>
        <w:t>Курс «І</w:t>
      </w:r>
      <w:r w:rsidR="00547400">
        <w:rPr>
          <w:color w:val="1A1A1A" w:themeColor="background1" w:themeShade="1A"/>
          <w:lang w:val="uk-UA" w:eastAsia="uk-UA"/>
        </w:rPr>
        <w:t>ноземна мова</w:t>
      </w:r>
      <w:r>
        <w:rPr>
          <w:color w:val="1A1A1A" w:themeColor="background1" w:themeShade="1A"/>
          <w:lang w:val="uk-UA" w:eastAsia="uk-UA"/>
        </w:rPr>
        <w:t xml:space="preserve"> професійно-ділового спілкування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 w:rsidR="002C3E58">
        <w:rPr>
          <w:color w:val="1A1A1A" w:themeColor="background1" w:themeShade="1A"/>
          <w:lang w:val="uk-UA" w:eastAsia="uk-UA"/>
        </w:rPr>
        <w:t xml:space="preserve">спрямований на </w:t>
      </w:r>
      <w:r w:rsidRPr="00895EC6">
        <w:rPr>
          <w:lang w:val="uk-UA"/>
        </w:rPr>
        <w:t xml:space="preserve">досягнення здобувачами освіти першого (бакалаврського) рівня професійної комунікативної достатності у головних напрямах майбутньої фахової англомовної діяльності, а саме сформувати навички використання знань з англійської мови як у процесі ділового спілкування з представниками інших країн з різноманітних питань в галузі професійної освіти, так і на етапі підготовки до участі у міжнародних проектах та дискусіях, а також навчити слухачів проводити письмовий обмін діловою інформацією. Навчальний процес організований у такий спосіб, щоб сприяти паралельному і взаємопов’язаному формуванню у здобувачів освіти умінь і навичок усного (говоріння, аудіювання) і писемного (читання, письмо) мовлення.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8C753B" w:rsidRPr="008C753B">
        <w:rPr>
          <w:color w:val="1A1A1A" w:themeColor="background1" w:themeShade="1A"/>
          <w:u w:val="single"/>
          <w:lang w:val="uk-UA" w:eastAsia="uk-UA"/>
        </w:rPr>
        <w:t>Іноземна мова професійно-ділового спілкування</w:t>
      </w:r>
      <w:r w:rsidRPr="008C753B">
        <w:rPr>
          <w:u w:val="single"/>
          <w:lang w:val="uk-UA"/>
        </w:rPr>
        <w:t>»</w:t>
      </w:r>
      <w:r w:rsidRPr="0037604B">
        <w:rPr>
          <w:u w:val="single"/>
          <w:lang w:val="uk-UA"/>
        </w:rPr>
        <w:t xml:space="preserve">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8C753B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ЗK02</w:t>
      </w:r>
      <w:r w:rsidR="00C07E20">
        <w:rPr>
          <w:lang w:val="uk-UA"/>
        </w:rPr>
        <w:t xml:space="preserve">. </w:t>
      </w:r>
      <w:r w:rsidR="00BC259A">
        <w:rPr>
          <w:lang w:val="uk-UA"/>
        </w:rPr>
        <w:t>Здатність застосовувати знання у практичних ситуаціях.</w:t>
      </w:r>
    </w:p>
    <w:p w:rsidR="00AB23C7" w:rsidRPr="0037604B" w:rsidRDefault="00BC259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ЗK04</w:t>
      </w:r>
      <w:r w:rsidR="00120A3B" w:rsidRPr="0037604B">
        <w:rPr>
          <w:lang w:val="uk-UA"/>
        </w:rPr>
        <w:t xml:space="preserve">. </w:t>
      </w:r>
      <w:r>
        <w:rPr>
          <w:lang w:val="uk-UA"/>
        </w:rPr>
        <w:t>Здатність спілкуватися іноземною мовою</w:t>
      </w:r>
      <w:r w:rsidRPr="0037604B">
        <w:rPr>
          <w:lang w:val="uk-UA"/>
        </w:rPr>
        <w:t>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C07E20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="008C753B">
        <w:rPr>
          <w:color w:val="1A1A1A" w:themeColor="background1" w:themeShade="1A"/>
          <w:spacing w:val="-4"/>
          <w:lang w:val="uk-UA" w:eastAsia="uk-UA"/>
        </w:rPr>
        <w:t xml:space="preserve"> </w:t>
      </w:r>
      <w:r w:rsidR="008C753B">
        <w:rPr>
          <w:lang w:val="uk-UA"/>
        </w:rPr>
        <w:t xml:space="preserve">здатності застосовувати знання у практичних ситуаціях, досягнення рівня </w:t>
      </w:r>
      <w:r w:rsidR="008C753B" w:rsidRPr="00216D0B">
        <w:rPr>
          <w:lang w:val="uk-UA"/>
        </w:rPr>
        <w:t xml:space="preserve">професійної комунікативної достатності у головних напрямах майбутньої фахової англомовної діяльності, а саме </w:t>
      </w:r>
      <w:r w:rsidR="008C753B">
        <w:rPr>
          <w:lang w:val="uk-UA"/>
        </w:rPr>
        <w:t xml:space="preserve">здатності спілкуватися іноземною мовою </w:t>
      </w:r>
      <w:r w:rsidR="008C753B" w:rsidRPr="00216D0B">
        <w:rPr>
          <w:lang w:val="uk-UA"/>
        </w:rPr>
        <w:t xml:space="preserve">як у процесі ділового спілкування з представниками інших країн з різноманітних питань в галузі професійної освіти, так і на етапі підготовки до участі у міжнародних проектах та дискусіях, а також </w:t>
      </w:r>
      <w:r w:rsidR="008C753B">
        <w:rPr>
          <w:lang w:val="uk-UA"/>
        </w:rPr>
        <w:t xml:space="preserve">до реалізації навичок використання інформаційних і комунікаційних технологій, до реалізації здатності до пошуку, опрацювання та аналізу інформації з різних джерел. 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95EC6" w:rsidRPr="00895EC6" w:rsidRDefault="00895EC6" w:rsidP="00895EC6">
      <w:pPr>
        <w:ind w:firstLine="708"/>
        <w:jc w:val="both"/>
        <w:rPr>
          <w:b/>
          <w:lang w:val="uk-UA"/>
        </w:rPr>
      </w:pPr>
      <w:r w:rsidRPr="00895EC6">
        <w:rPr>
          <w:b/>
          <w:lang w:val="uk-UA"/>
        </w:rPr>
        <w:t>1.2. Основні завдання вивчення дисципліни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Intermediate (В1+) та неадаптованих, але відповідних за рівнем складності матеріалів за визначеною тематикою;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>формування здібностей до самооцінювання, взаємооцінювання та здатності до самостійного навчання;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сприяння становленню критичного самоусвідомлення та вмінь </w:t>
      </w:r>
      <w:r w:rsidRPr="0070204D">
        <w:rPr>
          <w:rFonts w:ascii="Times New Roman" w:hAnsi="Times New Roman"/>
          <w:sz w:val="24"/>
          <w:szCs w:val="24"/>
        </w:rPr>
        <w:t>спілкуватися і робити вагомий внесок в інтеркультурне освітнє середовище вищої школи у межах професійно-ділової тематики</w:t>
      </w:r>
      <w:r w:rsidRPr="00BB47B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досягнення широкого розуміння важливих </w:t>
      </w:r>
      <w:r w:rsidRPr="0070204D">
        <w:rPr>
          <w:rFonts w:ascii="Times New Roman" w:hAnsi="Times New Roman"/>
          <w:sz w:val="24"/>
          <w:szCs w:val="24"/>
        </w:rPr>
        <w:t>і різнопланових міжнародних соціокультурних проблем, для того щоб діяти належним чином у культурному розмаїтті професійно-ділових ситуацій</w:t>
      </w:r>
      <w:r w:rsidRPr="00BB47B2">
        <w:rPr>
          <w:rFonts w:ascii="Times New Roman" w:hAnsi="Times New Roman"/>
          <w:sz w:val="24"/>
          <w:szCs w:val="24"/>
        </w:rPr>
        <w:t>.</w:t>
      </w:r>
    </w:p>
    <w:p w:rsidR="00895EC6" w:rsidRPr="00374A58" w:rsidRDefault="00895EC6" w:rsidP="00374A58">
      <w:pPr>
        <w:ind w:firstLine="708"/>
        <w:jc w:val="both"/>
        <w:rPr>
          <w:b/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374A58" w:rsidP="0037604B">
      <w:pPr>
        <w:spacing w:line="276" w:lineRule="auto"/>
        <w:ind w:firstLine="709"/>
        <w:jc w:val="both"/>
      </w:pPr>
      <w:r>
        <w:t>6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374A58" w:rsidP="0037604B">
      <w:pPr>
        <w:spacing w:line="276" w:lineRule="auto"/>
        <w:ind w:firstLine="709"/>
        <w:jc w:val="both"/>
        <w:rPr>
          <w:lang w:val="uk-UA"/>
        </w:rPr>
      </w:pPr>
      <w:r>
        <w:t>180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374A58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</w:t>
            </w:r>
            <w:r w:rsidR="00195DF1" w:rsidRPr="0037604B">
              <w:rPr>
                <w:lang w:val="uk-UA"/>
              </w:rPr>
              <w:t>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 та 4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BC259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 та 4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5, 6, 7, 8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="00BC259A">
              <w:rPr>
                <w:lang w:val="uk-UA"/>
              </w:rPr>
              <w:t>5,6,7,8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BC259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10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BC259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BC259A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8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BC259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BC259A" w:rsidRPr="00E5619E" w:rsidRDefault="00BC259A" w:rsidP="00BC259A">
      <w:pPr>
        <w:tabs>
          <w:tab w:val="left" w:pos="0"/>
        </w:tabs>
        <w:ind w:firstLine="709"/>
        <w:jc w:val="both"/>
        <w:rPr>
          <w:lang w:val="uk-UA"/>
        </w:rPr>
      </w:pPr>
      <w:r w:rsidRPr="00E5619E">
        <w:rPr>
          <w:lang w:val="uk-UA"/>
        </w:rPr>
        <w:t>ПРН10. Знаходити необхідну інформацію в науково-технічній літературі,</w:t>
      </w:r>
      <w:r>
        <w:rPr>
          <w:lang w:val="uk-UA"/>
        </w:rPr>
        <w:t xml:space="preserve"> </w:t>
      </w:r>
      <w:r w:rsidRPr="00E5619E">
        <w:rPr>
          <w:lang w:val="uk-UA"/>
        </w:rPr>
        <w:t>базах даних та інших джерелах інформації, оцінювати її релевантність та</w:t>
      </w:r>
      <w:r>
        <w:rPr>
          <w:lang w:val="uk-UA"/>
        </w:rPr>
        <w:t xml:space="preserve"> </w:t>
      </w:r>
      <w:r w:rsidRPr="00E5619E">
        <w:rPr>
          <w:lang w:val="uk-UA"/>
        </w:rPr>
        <w:t>достовірність.</w:t>
      </w:r>
    </w:p>
    <w:p w:rsidR="00BC259A" w:rsidRPr="00712DFA" w:rsidRDefault="00BC259A" w:rsidP="00BC259A">
      <w:pPr>
        <w:tabs>
          <w:tab w:val="left" w:pos="0"/>
        </w:tabs>
        <w:ind w:firstLine="709"/>
        <w:jc w:val="both"/>
        <w:rPr>
          <w:lang w:val="uk-UA"/>
        </w:rPr>
      </w:pPr>
      <w:r w:rsidRPr="00E5619E">
        <w:rPr>
          <w:lang w:val="uk-UA"/>
        </w:rPr>
        <w:t>ПРН11. Вільно спілкуватися з професійних проблем державною та</w:t>
      </w:r>
      <w:r>
        <w:rPr>
          <w:lang w:val="uk-UA"/>
        </w:rPr>
        <w:t xml:space="preserve"> </w:t>
      </w:r>
      <w:r w:rsidRPr="00E5619E">
        <w:rPr>
          <w:lang w:val="uk-UA"/>
        </w:rPr>
        <w:t>іноземною мовами усно і письмово, обговорювати результати професійної</w:t>
      </w:r>
      <w:r>
        <w:rPr>
          <w:lang w:val="uk-UA"/>
        </w:rPr>
        <w:t xml:space="preserve"> </w:t>
      </w:r>
      <w:r w:rsidRPr="00E5619E">
        <w:rPr>
          <w:lang w:val="uk-UA"/>
        </w:rPr>
        <w:t>діяльності з фахівцями та нефахівцями, аргументувати свою позицію з</w:t>
      </w:r>
      <w:r>
        <w:rPr>
          <w:lang w:val="uk-UA"/>
        </w:rPr>
        <w:t xml:space="preserve"> </w:t>
      </w:r>
      <w:r w:rsidRPr="00E5619E">
        <w:rPr>
          <w:lang w:val="uk-UA"/>
        </w:rPr>
        <w:t>дискусійних питань.</w:t>
      </w:r>
    </w:p>
    <w:p w:rsidR="00BC259A" w:rsidRPr="0046323A" w:rsidRDefault="00BC259A" w:rsidP="00BC259A">
      <w:pPr>
        <w:ind w:firstLine="600"/>
        <w:jc w:val="both"/>
        <w:rPr>
          <w:lang w:val="uk-UA"/>
        </w:rPr>
      </w:pPr>
    </w:p>
    <w:p w:rsidR="00195DF1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0264EC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Making contact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A46FE7" w:rsidRDefault="00F80884" w:rsidP="00F80884">
      <w:pPr>
        <w:jc w:val="both"/>
        <w:rPr>
          <w:i/>
          <w:szCs w:val="28"/>
          <w:lang w:val="uk-UA"/>
        </w:rPr>
      </w:pPr>
      <w:r>
        <w:rPr>
          <w:lang w:val="uk-UA"/>
        </w:rPr>
        <w:t xml:space="preserve">            </w:t>
      </w:r>
      <w:r w:rsidRPr="00A46FE7">
        <w:rPr>
          <w:i/>
        </w:rPr>
        <w:t>Тема</w:t>
      </w:r>
      <w:r w:rsidRPr="00A46FE7">
        <w:rPr>
          <w:i/>
          <w:lang w:val="en-US"/>
        </w:rPr>
        <w:t xml:space="preserve"> 2. </w:t>
      </w:r>
      <w:r w:rsidRPr="00B277E6">
        <w:rPr>
          <w:i/>
          <w:lang w:val="en-GB"/>
        </w:rPr>
        <w:t>Welcoming visitors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277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Getting acquainted</w:t>
      </w:r>
      <w:r>
        <w:t xml:space="preserve">            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A46FE7" w:rsidRDefault="00F80884" w:rsidP="00F80884">
      <w:pPr>
        <w:rPr>
          <w:i/>
        </w:rPr>
      </w:pPr>
      <w:r>
        <w:rPr>
          <w:lang w:val="uk-UA" w:eastAsia="ar-SA"/>
        </w:rPr>
        <w:t xml:space="preserve">           </w:t>
      </w:r>
      <w:r w:rsidRPr="00A46FE7">
        <w:rPr>
          <w:i/>
        </w:rPr>
        <w:t xml:space="preserve">Модуль 2.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E-mailing. Getting started.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Structuring new message.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Being clear and concise.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401BB0" w:rsidRDefault="00F80884" w:rsidP="00F80884">
      <w:pPr>
        <w:rPr>
          <w:bCs/>
          <w:i/>
          <w:lang w:val="uk-UA"/>
        </w:rPr>
      </w:pPr>
      <w:r w:rsidRPr="00C52EBB">
        <w:rPr>
          <w:lang w:val="en-US" w:eastAsia="ar-SA"/>
        </w:rPr>
        <w:t xml:space="preserve"> </w:t>
      </w: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1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2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3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A46FE7" w:rsidRDefault="00F80884" w:rsidP="00F80884">
      <w:pPr>
        <w:rPr>
          <w:lang w:val="en-US" w:eastAsia="ar-SA"/>
        </w:rPr>
      </w:pPr>
      <w:r>
        <w:rPr>
          <w:rStyle w:val="fontstyle01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Pr="00E35FDF" w:rsidRDefault="00F80884" w:rsidP="00F80884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4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5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F80884" w:rsidRPr="00A46FE7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6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i/>
          <w:lang w:val="en-US"/>
        </w:rPr>
        <w:t xml:space="preserve">       </w:t>
      </w:r>
      <w:r w:rsidRPr="00986C5F">
        <w:rPr>
          <w:rStyle w:val="fontstyle01"/>
          <w:sz w:val="28"/>
          <w:szCs w:val="28"/>
          <w:lang w:val="en-GB"/>
        </w:rPr>
        <w:t xml:space="preserve"> </w:t>
      </w:r>
      <w:r w:rsidRPr="00A46FE7">
        <w:rPr>
          <w:i/>
        </w:rPr>
        <w:t>Модуль</w:t>
      </w:r>
      <w:r w:rsidRPr="00B46B8A">
        <w:rPr>
          <w:i/>
          <w:lang w:val="en-US"/>
        </w:rPr>
        <w:t xml:space="preserve"> 5.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277E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Entertaining a visitor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Eating out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Networking at a trade fair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712DFA" w:rsidRDefault="00F80884" w:rsidP="00F80884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A711C0">
        <w:rPr>
          <w:i/>
          <w:lang w:val="en-GB"/>
        </w:rPr>
        <w:t>Business environments.</w:t>
      </w:r>
    </w:p>
    <w:p w:rsidR="00F80884" w:rsidRDefault="00F80884" w:rsidP="00F80884">
      <w:pPr>
        <w:rPr>
          <w:b/>
          <w:bCs/>
          <w:lang w:val="uk-U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sz w:val="24"/>
          <w:szCs w:val="24"/>
          <w:lang w:val="en-US"/>
        </w:rPr>
        <w:t>Learning the job.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What’s in a brand?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help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lang w:val="uk-UA" w:eastAsia="ar-SA"/>
        </w:rPr>
        <w:t xml:space="preserve"> </w:t>
      </w:r>
      <w:r>
        <w:rPr>
          <w:lang w:val="en-US"/>
        </w:rPr>
        <w:t xml:space="preserve">       </w:t>
      </w:r>
      <w:r w:rsidRPr="00B46B8A">
        <w:rPr>
          <w:i/>
        </w:rPr>
        <w:t>Модуль</w:t>
      </w:r>
      <w:r w:rsidRPr="00B46B8A">
        <w:rPr>
          <w:i/>
          <w:lang w:val="en-US"/>
        </w:rPr>
        <w:t xml:space="preserve"> 7.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i w:val="0"/>
          <w:sz w:val="24"/>
          <w:szCs w:val="24"/>
          <w:lang w:val="en-GB"/>
        </w:rPr>
        <w:t>Topic 7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8 (by specialization)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9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647FAF" w:rsidRDefault="00F80884" w:rsidP="00F80884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A711C0">
        <w:rPr>
          <w:i/>
          <w:lang w:val="en-GB"/>
        </w:rPr>
        <w:t>Topic 10 (by specialization)</w:t>
      </w:r>
    </w:p>
    <w:p w:rsidR="00F80884" w:rsidRPr="00A711C0" w:rsidRDefault="00F80884" w:rsidP="00F80884">
      <w:pPr>
        <w:rPr>
          <w:b/>
          <w:bCs/>
          <w:lang w:val="en-US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GB"/>
        </w:rPr>
        <w:t>Topic 11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>l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Topic 12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 </w:t>
      </w:r>
      <w:r w:rsidRPr="00A711C0">
        <w:rPr>
          <w:rStyle w:val="fontstyle01"/>
          <w:rFonts w:ascii="Times New Roman" w:hAnsi="Times New Roman"/>
          <w:sz w:val="24"/>
          <w:szCs w:val="24"/>
          <w:lang w:val="en-GB"/>
        </w:rPr>
        <w:t>information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to a map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5C7EB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GB"/>
        </w:rPr>
        <w:t>Topic 13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37604B" w:rsidRDefault="00F80884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891"/>
        <w:gridCol w:w="336"/>
        <w:gridCol w:w="576"/>
        <w:gridCol w:w="565"/>
        <w:gridCol w:w="534"/>
        <w:gridCol w:w="563"/>
        <w:gridCol w:w="946"/>
        <w:gridCol w:w="336"/>
        <w:gridCol w:w="516"/>
        <w:gridCol w:w="565"/>
        <w:gridCol w:w="534"/>
        <w:gridCol w:w="576"/>
        <w:gridCol w:w="10"/>
      </w:tblGrid>
      <w:tr w:rsidR="00F80884" w:rsidRPr="00A91561" w:rsidTr="00BC259A">
        <w:trPr>
          <w:gridAfter w:val="1"/>
          <w:wAfter w:w="10" w:type="dxa"/>
          <w:cantSplit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F80884" w:rsidRPr="00A91561" w:rsidTr="00BC259A">
        <w:trPr>
          <w:gridAfter w:val="1"/>
          <w:wAfter w:w="10" w:type="dxa"/>
          <w:cantSplit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F80884" w:rsidRPr="00A91561" w:rsidTr="00BC259A">
        <w:trPr>
          <w:gridAfter w:val="1"/>
          <w:wAfter w:w="10" w:type="dxa"/>
          <w:cantSplit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F80884" w:rsidRPr="00A91561" w:rsidTr="00BC259A">
        <w:trPr>
          <w:gridAfter w:val="1"/>
          <w:wAfter w:w="10" w:type="dxa"/>
          <w:cantSplit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</w:tr>
      <w:tr w:rsidR="00F80884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8608B2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F80884" w:rsidRPr="00BB47B2" w:rsidTr="008608B2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40921" w:rsidRDefault="00F80884" w:rsidP="008608B2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711C0" w:rsidRDefault="00BC259A" w:rsidP="00BC259A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  <w:trHeight w:val="32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0</w:t>
            </w:r>
            <w:r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  <w:trHeight w:val="2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C259A" w:rsidRPr="00A91561" w:rsidTr="00BC259A">
        <w:trPr>
          <w:gridAfter w:val="1"/>
          <w:wAfter w:w="10" w:type="dxa"/>
          <w:trHeight w:val="54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0B7DD6">
              <w:rPr>
                <w:b/>
                <w:lang w:val="uk-UA"/>
              </w:rPr>
              <w:t>0</w:t>
            </w:r>
          </w:p>
        </w:tc>
      </w:tr>
      <w:tr w:rsidR="00BC259A" w:rsidRPr="00A91561" w:rsidTr="008608B2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>одуль № 2</w:t>
            </w:r>
          </w:p>
        </w:tc>
      </w:tr>
      <w:tr w:rsidR="00BC259A" w:rsidRPr="00A91561" w:rsidTr="00BC259A">
        <w:trPr>
          <w:gridAfter w:val="1"/>
          <w:wAfter w:w="10" w:type="dxa"/>
          <w:trHeight w:val="34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2D32E1" w:rsidRDefault="00BC259A" w:rsidP="00BC259A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  <w:trHeight w:val="33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6A4138" w:rsidRDefault="00BC259A" w:rsidP="00BC259A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6A4138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Тема 3. </w:t>
            </w:r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BC259A" w:rsidRPr="00A91561" w:rsidTr="008608B2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№ 3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F0F2D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BC259A" w:rsidRPr="00A91561" w:rsidTr="008608B2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6A4138" w:rsidRDefault="00BC259A" w:rsidP="00BC259A">
            <w:pPr>
              <w:jc w:val="both"/>
              <w:rPr>
                <w:lang w:val="en-US"/>
              </w:rPr>
            </w:pPr>
            <w:r>
              <w:t>Тема</w:t>
            </w:r>
            <w:r w:rsidRPr="006A4138">
              <w:rPr>
                <w:lang w:val="en-US"/>
              </w:rPr>
              <w:t xml:space="preserve"> 1. </w:t>
            </w: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3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0B7DD6">
              <w:rPr>
                <w:b/>
                <w:lang w:val="uk-UA"/>
              </w:rPr>
              <w:t>1</w:t>
            </w:r>
          </w:p>
        </w:tc>
      </w:tr>
      <w:tr w:rsidR="00BC259A" w:rsidRPr="00A91561" w:rsidTr="008608B2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3477ED" w:rsidRDefault="00BC259A" w:rsidP="00BC259A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1.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259A" w:rsidRPr="00A91561" w:rsidTr="00BC259A">
        <w:trPr>
          <w:gridAfter w:val="1"/>
          <w:wAfter w:w="10" w:type="dxa"/>
          <w:trHeight w:val="26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2.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259A" w:rsidRPr="00A91561" w:rsidTr="00BC259A">
        <w:trPr>
          <w:gridAfter w:val="1"/>
          <w:wAfter w:w="10" w:type="dxa"/>
          <w:trHeight w:val="2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963C01" w:rsidRDefault="00BC259A" w:rsidP="00BC259A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259A" w:rsidRPr="00A91561" w:rsidTr="00BC259A">
        <w:trPr>
          <w:gridAfter w:val="1"/>
          <w:wAfter w:w="10" w:type="dxa"/>
          <w:trHeight w:val="2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rPr>
                <w:b/>
                <w:bCs/>
                <w:lang w:val="uk-UA"/>
              </w:rPr>
            </w:pPr>
            <w:r>
              <w:rPr>
                <w:lang w:val="uk-UA" w:eastAsia="uk-UA"/>
              </w:rPr>
              <w:lastRenderedPageBreak/>
              <w:t xml:space="preserve">Тема 4. </w:t>
            </w:r>
            <w:r w:rsidRPr="005720AC">
              <w:rPr>
                <w:lang w:val="en-GB"/>
              </w:rPr>
              <w:t>Business environments.</w:t>
            </w:r>
          </w:p>
          <w:p w:rsidR="00BC259A" w:rsidRDefault="00BC259A" w:rsidP="00BC259A">
            <w:pPr>
              <w:rPr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259A" w:rsidRPr="00A91561" w:rsidTr="00BC259A">
        <w:trPr>
          <w:gridAfter w:val="1"/>
          <w:wAfter w:w="10" w:type="dxa"/>
          <w:trHeight w:val="54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BC259A" w:rsidRPr="00A91561" w:rsidTr="008608B2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6 </w:t>
            </w:r>
          </w:p>
        </w:tc>
      </w:tr>
      <w:tr w:rsidR="00BC259A" w:rsidRPr="00A91561" w:rsidTr="00BC259A">
        <w:trPr>
          <w:gridAfter w:val="1"/>
          <w:wAfter w:w="10" w:type="dxa"/>
          <w:trHeight w:val="30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Тема 1. </w:t>
            </w: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  <w:trHeight w:val="393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 xml:space="preserve">. </w:t>
            </w: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5720AC" w:rsidRDefault="00BC259A" w:rsidP="00BC259A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3.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1</w:t>
            </w:r>
          </w:p>
        </w:tc>
      </w:tr>
      <w:tr w:rsidR="00BC259A" w:rsidRPr="00A91561" w:rsidTr="008608B2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7 </w:t>
            </w:r>
          </w:p>
        </w:tc>
      </w:tr>
      <w:tr w:rsidR="00BC259A" w:rsidRPr="005720AC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EE235D" w:rsidRDefault="00BC259A" w:rsidP="00BC259A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Тема 1.</w:t>
            </w:r>
            <w:r>
              <w:rPr>
                <w:lang w:val="en-GB"/>
              </w:rPr>
              <w:t xml:space="preserve"> 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259A" w:rsidRPr="005720AC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EE235D" w:rsidRDefault="00BC259A" w:rsidP="00BC259A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C47533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259A" w:rsidRPr="005720AC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FE4E4B" w:rsidRDefault="00BC259A" w:rsidP="00BC259A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259A" w:rsidRPr="006523FD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Pr="00A91561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</w:t>
            </w:r>
          </w:p>
        </w:tc>
      </w:tr>
      <w:tr w:rsidR="00BC259A" w:rsidRPr="00A91561" w:rsidTr="008608B2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570AB" w:rsidRDefault="00BC259A" w:rsidP="00BC259A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GB"/>
              </w:rPr>
              <w:t>Topic 12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B6364F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4C1D70" w:rsidRDefault="00BC259A" w:rsidP="00BC25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BC259A" w:rsidRPr="00A91561" w:rsidTr="00BC259A">
        <w:trPr>
          <w:gridAfter w:val="1"/>
          <w:wAfter w:w="1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FE4E4B" w:rsidRDefault="00BC259A" w:rsidP="00BC259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A91561" w:rsidRDefault="00BC259A" w:rsidP="00BC259A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A" w:rsidRPr="000B7DD6" w:rsidRDefault="00BC259A" w:rsidP="00BC259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</w:t>
            </w:r>
          </w:p>
        </w:tc>
      </w:tr>
    </w:tbl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CB775C" w:rsidRPr="000214D3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CB775C" w:rsidRPr="000214D3" w:rsidRDefault="00CB775C" w:rsidP="008608B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CB775C" w:rsidRPr="000214D3" w:rsidRDefault="00CB775C" w:rsidP="008608B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711C0" w:rsidRDefault="00CB775C" w:rsidP="008608B2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bCs/>
                <w:lang w:val="uk-UA"/>
              </w:rPr>
            </w:pP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D32E1" w:rsidRDefault="00CB775C" w:rsidP="008608B2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8608B2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bCs/>
                <w:lang w:val="uk-UA"/>
              </w:rPr>
            </w:pP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8608B2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8608B2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963C01" w:rsidRDefault="00CB775C" w:rsidP="008608B2">
            <w:pPr>
              <w:jc w:val="both"/>
              <w:rPr>
                <w:lang w:val="en-US"/>
              </w:rPr>
            </w:pP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8608B2">
            <w:pPr>
              <w:rPr>
                <w:b/>
                <w:bCs/>
                <w:lang w:val="uk-UA"/>
              </w:rPr>
            </w:pPr>
            <w:r w:rsidRPr="005720AC">
              <w:rPr>
                <w:lang w:val="en-GB"/>
              </w:rPr>
              <w:t>Business environments.</w:t>
            </w:r>
          </w:p>
          <w:p w:rsidR="00CB775C" w:rsidRDefault="00CB775C" w:rsidP="008608B2">
            <w:pPr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5720AC" w:rsidRDefault="00CB775C" w:rsidP="008608B2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8608B2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lang w:val="en-GB"/>
              </w:rPr>
              <w:t>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8608B2">
            <w:pPr>
              <w:rPr>
                <w:lang w:val="en-US" w:eastAsia="uk-UA"/>
              </w:rPr>
            </w:pP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FE4E4B" w:rsidRDefault="00CB775C" w:rsidP="008608B2">
            <w:pPr>
              <w:jc w:val="both"/>
              <w:rPr>
                <w:lang w:val="en-US" w:eastAsia="uk-UA"/>
              </w:rPr>
            </w:pP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</w:t>
            </w:r>
            <w:r>
              <w:rPr>
                <w:lang w:val="uk-UA"/>
              </w:rPr>
              <w:t>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8608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8608B2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Tr="00860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8608B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3798B" w:rsidRDefault="00CB775C" w:rsidP="008608B2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8608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lastRenderedPageBreak/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bookmarkStart w:id="0" w:name="_GoBack"/>
      <w:bookmarkEnd w:id="0"/>
      <w:r w:rsidR="00DC682E">
        <w:rPr>
          <w:szCs w:val="28"/>
          <w:lang w:val="uk-UA"/>
        </w:rPr>
        <w:t xml:space="preserve"> / екзамен.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8"/>
        <w:gridCol w:w="1934"/>
        <w:gridCol w:w="1491"/>
        <w:gridCol w:w="1668"/>
        <w:gridCol w:w="823"/>
        <w:gridCol w:w="1141"/>
        <w:gridCol w:w="755"/>
      </w:tblGrid>
      <w:tr w:rsidR="00F349D4" w:rsidTr="00141423">
        <w:tc>
          <w:tcPr>
            <w:tcW w:w="7675" w:type="dxa"/>
            <w:gridSpan w:val="5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3 курс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41" w:type="dxa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Т1-6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Т7-11</w:t>
            </w: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Pr="000214D3" w:rsidRDefault="00F349D4" w:rsidP="00F349D4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F349D4" w:rsidRPr="000214D3" w:rsidTr="00141423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4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Default="00F349D4" w:rsidP="00F349D4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>
        <w:rPr>
          <w:lang w:val="uk-UA"/>
        </w:rPr>
        <w:t xml:space="preserve">ти повинен набрати не менше </w:t>
      </w:r>
      <w:r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F349D4" w:rsidRDefault="00F349D4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 xml:space="preserve"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</w:t>
            </w:r>
            <w:r w:rsidRPr="008265A2">
              <w:rPr>
                <w:lang w:val="uk-UA"/>
              </w:rPr>
              <w:lastRenderedPageBreak/>
              <w:t>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1. Course 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lastRenderedPageBreak/>
        <w:t>Mol H., Collie J. Business Update 1. Workbook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177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2. Course 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2013.,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176 pp.</w:t>
      </w:r>
    </w:p>
    <w:p w:rsidR="00F349D4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2. Workbook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2014.,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3363">
        <w:rPr>
          <w:rFonts w:ascii="Times New Roman" w:hAnsi="Times New Roman" w:cs="Times New Roman"/>
          <w:sz w:val="24"/>
          <w:szCs w:val="24"/>
          <w:lang w:val="en-GB"/>
        </w:rPr>
        <w:t xml:space="preserve">Gore S. and Smith D. Oxford Business English. </w:t>
      </w:r>
      <w:r w:rsidRPr="00BF3363">
        <w:rPr>
          <w:rFonts w:ascii="Times New Roman" w:hAnsi="Times New Roman" w:cs="Times New Roman"/>
          <w:bCs/>
          <w:sz w:val="24"/>
          <w:szCs w:val="24"/>
          <w:lang w:val="en-GB"/>
        </w:rPr>
        <w:t>English for Socializing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Oxford University Press, 2007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, 68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Pile L. Business Communication Skills. E-mailing. DELTA Publishing, 2004, 64 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Fitzgerald P.,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ICT 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2011.,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140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Ricca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McCarthy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 for Telecoms and Information Technology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 Business English: Express 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95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 E. English for the Oil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1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pp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 E. English for Oil and Gas.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2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pp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Glendinning E. Oxford English for Electronics.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2012.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208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pp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Career Paths: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Electronics.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Campbell S. English for the Energy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pp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 Career Paths: Nuclear Engineering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Dunn M.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Mechanical Engineering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2010.,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134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Career Paths: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Mechanical Engineering.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Ward M.E. 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Fashion Industry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pp 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Weber J. Clothing: Fashion, fabrics &amp; construction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McGraw-Hill Glencoe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609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Marie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Kavanagh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English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for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the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Automobile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Industry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Oxford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Business English. Oxford University Press.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, 2008., 95 рр.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Evans V. Career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Paths: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Cooking. (Books 1, 2 and 3) / V. Evans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J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Dooley, H. Rogers. – Express Publishing, 2013. – 122 pp. </w:t>
      </w:r>
    </w:p>
    <w:p w:rsidR="00CB775C" w:rsidRPr="00D151ED" w:rsidRDefault="00CB775C" w:rsidP="00CB775C">
      <w:pPr>
        <w:pStyle w:val="ae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349D4" w:rsidRP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GB"/>
        </w:rPr>
      </w:pP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CB775C" w:rsidRPr="00BF3363" w:rsidRDefault="00CB775C" w:rsidP="00CB775C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F3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Ділова іноземна мова (Англійська) </w:t>
      </w:r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н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авч.-метод. посібник </w:t>
      </w:r>
      <w:r w:rsidRPr="00BF33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>ОС «бакалавр» денної та заочної форм зд</w:t>
      </w:r>
      <w:r>
        <w:rPr>
          <w:rFonts w:ascii="Times New Roman" w:hAnsi="Times New Roman" w:cs="Times New Roman"/>
          <w:sz w:val="24"/>
          <w:szCs w:val="24"/>
          <w:lang w:val="uk-UA"/>
        </w:rPr>
        <w:t>обуття освіти всіх спеціальност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ей </w:t>
      </w:r>
      <w:r w:rsidRPr="00BF3363">
        <w:rPr>
          <w:rFonts w:ascii="Times New Roman" w:hAnsi="Times New Roman" w:cs="Times New Roman"/>
          <w:noProof/>
          <w:sz w:val="24"/>
          <w:szCs w:val="24"/>
          <w:lang w:val="uk-UA"/>
        </w:rPr>
        <w:t>/ В. В. Тупченко, М. В. Пасічник; Укр. інж.-пед. акад. – Харків : УІПА, 2024. – 100 с.</w:t>
      </w:r>
    </w:p>
    <w:p w:rsidR="00CB775C" w:rsidRPr="006B78E3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6B78E3">
        <w:rPr>
          <w:rFonts w:ascii="Times New Roman" w:hAnsi="Times New Roman"/>
          <w:b w:val="0"/>
          <w:sz w:val="24"/>
          <w:szCs w:val="24"/>
          <w:lang w:val="uk-UA"/>
        </w:rPr>
        <w:lastRenderedPageBreak/>
        <w:t xml:space="preserve">Ділова іноземна мова (Англійська) : </w:t>
      </w:r>
      <w:r w:rsidRPr="006B78E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проведення практичних занять </w:t>
      </w:r>
      <w:r w:rsidRPr="006B78E3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 «бакалавр» денної та заочної форм здобуття освіти всіх спеціальностей </w:t>
      </w:r>
      <w:r w:rsidRPr="006B78E3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Укр. інж.-пед</w:t>
      </w:r>
      <w:r>
        <w:rPr>
          <w:rFonts w:ascii="Times New Roman" w:hAnsi="Times New Roman"/>
          <w:b w:val="0"/>
          <w:w w:val="115"/>
          <w:sz w:val="24"/>
          <w:szCs w:val="24"/>
          <w:lang w:val="uk-UA"/>
        </w:rPr>
        <w:t>. акад.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; у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.: В. В. Тупченко.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49 с.</w:t>
      </w:r>
    </w:p>
    <w:p w:rsidR="00CB775C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743C3A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організації та планування самостійної роботи </w:t>
      </w:r>
      <w:r w:rsidRPr="00743C3A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освітнього ступеня «бакалавр» денної та заочної форм здобуття освіти всіх спеціальностей </w:t>
      </w:r>
      <w:r w:rsidRPr="00743C3A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Укр. інж.-пед. акад. ; у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.: М. В. Пасічник.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52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Англійська мова професійно-ділового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студ. 3 курсу денної форми навч.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/ Укр. інж.-пед. акад. ; упоряд. : К.О. Ремізанцева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Саркісова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Англійська мова професійно-ділового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студ. 3 курсу денної форми навч.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/ Укр. інж.-пед. акад. ; упоряд. : К.О. Ремізанцева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Саркісова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Англійська мова професійно-ділового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студ. 4 курсу денної форми навч.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/ Укр. інж.-пед. акад. ; упоряд. : К.О. Ремізанцева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Саркісова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Англійська мова професійно-ділового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студ. 4 курсу денної форми навч.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/ Укр. інж.-пед. акад. ; упоряд. : К.О. Ремізанцева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Саркісова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9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20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21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2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8608B2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23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8608B2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24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8608B2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5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8608B2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6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8608B2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7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8608B2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8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30"/>
      <w:headerReference w:type="default" r:id="rId3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31" w:rsidRDefault="00952731">
      <w:r>
        <w:separator/>
      </w:r>
    </w:p>
  </w:endnote>
  <w:endnote w:type="continuationSeparator" w:id="0">
    <w:p w:rsidR="00952731" w:rsidRDefault="0095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31" w:rsidRDefault="00952731">
      <w:r>
        <w:separator/>
      </w:r>
    </w:p>
  </w:footnote>
  <w:footnote w:type="continuationSeparator" w:id="0">
    <w:p w:rsidR="00952731" w:rsidRDefault="0095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8B2" w:rsidRDefault="008608B2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08B2" w:rsidRDefault="008608B2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8B2" w:rsidRDefault="008608B2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682E">
      <w:rPr>
        <w:rStyle w:val="a6"/>
        <w:noProof/>
      </w:rPr>
      <w:t>12</w:t>
    </w:r>
    <w:r>
      <w:rPr>
        <w:rStyle w:val="a6"/>
      </w:rPr>
      <w:fldChar w:fldCharType="end"/>
    </w:r>
  </w:p>
  <w:p w:rsidR="008608B2" w:rsidRDefault="008608B2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7175D"/>
    <w:rsid w:val="00080D16"/>
    <w:rsid w:val="00096E57"/>
    <w:rsid w:val="000975A4"/>
    <w:rsid w:val="000B5CAB"/>
    <w:rsid w:val="000B6D7D"/>
    <w:rsid w:val="000C6F05"/>
    <w:rsid w:val="000D3A0A"/>
    <w:rsid w:val="000F30DE"/>
    <w:rsid w:val="00103CEF"/>
    <w:rsid w:val="00104770"/>
    <w:rsid w:val="00120A3B"/>
    <w:rsid w:val="00136623"/>
    <w:rsid w:val="00141423"/>
    <w:rsid w:val="00143C77"/>
    <w:rsid w:val="00153AD2"/>
    <w:rsid w:val="00156CDC"/>
    <w:rsid w:val="0016419A"/>
    <w:rsid w:val="0016661C"/>
    <w:rsid w:val="00175912"/>
    <w:rsid w:val="0017784B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56AF7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37686"/>
    <w:rsid w:val="003550A3"/>
    <w:rsid w:val="003602CB"/>
    <w:rsid w:val="00360B0D"/>
    <w:rsid w:val="003732CF"/>
    <w:rsid w:val="00374A58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3F741A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37FF"/>
    <w:rsid w:val="004B681C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47400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051D4"/>
    <w:rsid w:val="00624A58"/>
    <w:rsid w:val="00633DBE"/>
    <w:rsid w:val="00636A9F"/>
    <w:rsid w:val="0064261B"/>
    <w:rsid w:val="00656954"/>
    <w:rsid w:val="006607DC"/>
    <w:rsid w:val="00660A70"/>
    <w:rsid w:val="006847A3"/>
    <w:rsid w:val="0069041E"/>
    <w:rsid w:val="006B0C43"/>
    <w:rsid w:val="006D00EF"/>
    <w:rsid w:val="006D3204"/>
    <w:rsid w:val="007270F4"/>
    <w:rsid w:val="00730879"/>
    <w:rsid w:val="0073438A"/>
    <w:rsid w:val="00734B86"/>
    <w:rsid w:val="00740125"/>
    <w:rsid w:val="007652C9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608B2"/>
    <w:rsid w:val="008705AB"/>
    <w:rsid w:val="00875724"/>
    <w:rsid w:val="00883199"/>
    <w:rsid w:val="00887241"/>
    <w:rsid w:val="008903FD"/>
    <w:rsid w:val="00895EC6"/>
    <w:rsid w:val="008A601F"/>
    <w:rsid w:val="008C753B"/>
    <w:rsid w:val="008E544C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731"/>
    <w:rsid w:val="00952BBB"/>
    <w:rsid w:val="00957CDA"/>
    <w:rsid w:val="009618D4"/>
    <w:rsid w:val="00964990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0545"/>
    <w:rsid w:val="00A02187"/>
    <w:rsid w:val="00A41E73"/>
    <w:rsid w:val="00A807E3"/>
    <w:rsid w:val="00A913A8"/>
    <w:rsid w:val="00A91996"/>
    <w:rsid w:val="00AA4B4F"/>
    <w:rsid w:val="00AB23C7"/>
    <w:rsid w:val="00AC0D30"/>
    <w:rsid w:val="00AC620D"/>
    <w:rsid w:val="00AD6180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B465F"/>
    <w:rsid w:val="00BC259A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07E2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B775C"/>
    <w:rsid w:val="00CC291B"/>
    <w:rsid w:val="00CC3003"/>
    <w:rsid w:val="00CD0DE1"/>
    <w:rsid w:val="00CE084A"/>
    <w:rsid w:val="00CE3AA9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C682E"/>
    <w:rsid w:val="00DD0925"/>
    <w:rsid w:val="00DD1C4E"/>
    <w:rsid w:val="00DE3F6F"/>
    <w:rsid w:val="00E06DC2"/>
    <w:rsid w:val="00E32418"/>
    <w:rsid w:val="00E35FDF"/>
    <w:rsid w:val="00E42DF3"/>
    <w:rsid w:val="00E504B8"/>
    <w:rsid w:val="00E54477"/>
    <w:rsid w:val="00E54689"/>
    <w:rsid w:val="00E76063"/>
    <w:rsid w:val="00E80D31"/>
    <w:rsid w:val="00E82711"/>
    <w:rsid w:val="00E8724D"/>
    <w:rsid w:val="00EA0698"/>
    <w:rsid w:val="00EA5C8C"/>
    <w:rsid w:val="00EB0C1C"/>
    <w:rsid w:val="00EB1C1B"/>
    <w:rsid w:val="00EB5389"/>
    <w:rsid w:val="00ED0AB8"/>
    <w:rsid w:val="00ED15A0"/>
    <w:rsid w:val="00ED3FD2"/>
    <w:rsid w:val="00ED6FF2"/>
    <w:rsid w:val="00EE1638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1A2B"/>
    <w:rsid w:val="00F349D4"/>
    <w:rsid w:val="00F44F36"/>
    <w:rsid w:val="00F45CD9"/>
    <w:rsid w:val="00F56ED5"/>
    <w:rsid w:val="00F62A20"/>
    <w:rsid w:val="00F75F3C"/>
    <w:rsid w:val="00F77F56"/>
    <w:rsid w:val="00F80884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8DADA"/>
  <w15:docId w15:val="{F70DA894-A681-4B7F-BF4E-6F718D9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B681C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F3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F349D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"/>
    </w:rPr>
  </w:style>
  <w:style w:type="character" w:customStyle="1" w:styleId="af1">
    <w:name w:val="Подзаголовок Знак"/>
    <w:basedOn w:val="a0"/>
    <w:link w:val="af0"/>
    <w:rsid w:val="00F349D4"/>
    <w:rPr>
      <w:rFonts w:ascii="Arial" w:eastAsia="Arial" w:hAnsi="Arial" w:cs="Arial"/>
      <w:color w:val="666666"/>
      <w:sz w:val="30"/>
      <w:szCs w:val="30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vpasichnyk@karazin.ua" TargetMode="External"/><Relationship Id="rId18" Type="http://schemas.openxmlformats.org/officeDocument/2006/relationships/hyperlink" Target="http://meet.google.com/fim-pnuy-hsb?authuser=4" TargetMode="External"/><Relationship Id="rId26" Type="http://schemas.openxmlformats.org/officeDocument/2006/relationships/hyperlink" Target="https://www.pearson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uipa.edu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l.uipa.edu.ua/elementor-953/" TargetMode="External"/><Relationship Id="rId17" Type="http://schemas.openxmlformats.org/officeDocument/2006/relationships/hyperlink" Target="http://meet.google.com/ufz-kyjg-vxk" TargetMode="External"/><Relationship Id="rId25" Type="http://schemas.openxmlformats.org/officeDocument/2006/relationships/hyperlink" Target="https://www.cambridgeenglish.or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et.google.com/pac-xaah-zgx" TargetMode="External"/><Relationship Id="rId20" Type="http://schemas.openxmlformats.org/officeDocument/2006/relationships/hyperlink" Target="https://do.uipa.edu.ua/my/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tupchenko@karazin.ua" TargetMode="External"/><Relationship Id="rId24" Type="http://schemas.openxmlformats.org/officeDocument/2006/relationships/hyperlink" Target="https://eltng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odle.karazin.ua/course/view.php?id=10125" TargetMode="External"/><Relationship Id="rId23" Type="http://schemas.openxmlformats.org/officeDocument/2006/relationships/hyperlink" Target="https://elt.oup.com" TargetMode="External"/><Relationship Id="rId28" Type="http://schemas.openxmlformats.org/officeDocument/2006/relationships/hyperlink" Target="http://www.englishtips.org/" TargetMode="External"/><Relationship Id="rId10" Type="http://schemas.openxmlformats.org/officeDocument/2006/relationships/hyperlink" Target="http://fl.uipa.edu.ua/elementor-228/" TargetMode="External"/><Relationship Id="rId19" Type="http://schemas.openxmlformats.org/officeDocument/2006/relationships/hyperlink" Target="http://www.nbuv.gov.ua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zelenin@karazin.ua" TargetMode="External"/><Relationship Id="rId14" Type="http://schemas.openxmlformats.org/officeDocument/2006/relationships/hyperlink" Target="https://moodle.karazin.ua/course/view.php?id=10127" TargetMode="External"/><Relationship Id="rId22" Type="http://schemas.openxmlformats.org/officeDocument/2006/relationships/hyperlink" Target="http://repo.uipa.edu.ua/jspui/?locale=uk" TargetMode="External"/><Relationship Id="rId27" Type="http://schemas.openxmlformats.org/officeDocument/2006/relationships/hyperlink" Target="http://www.bbc.co.uk/" TargetMode="External"/><Relationship Id="rId30" Type="http://schemas.openxmlformats.org/officeDocument/2006/relationships/header" Target="header1.xml"/><Relationship Id="rId8" Type="http://schemas.openxmlformats.org/officeDocument/2006/relationships/hyperlink" Target="http://fl.uipa.edu.ua/211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B699-5CFF-4BB6-9C6C-8190A2A8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12</Pages>
  <Words>3327</Words>
  <Characters>18964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39</cp:revision>
  <cp:lastPrinted>2024-08-07T10:56:00Z</cp:lastPrinted>
  <dcterms:created xsi:type="dcterms:W3CDTF">2021-01-04T10:04:00Z</dcterms:created>
  <dcterms:modified xsi:type="dcterms:W3CDTF">2024-12-18T15:07:00Z</dcterms:modified>
</cp:coreProperties>
</file>